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ABBB" w14:textId="77777777" w:rsidR="009766D9" w:rsidRDefault="00911819">
      <w:pPr>
        <w:spacing w:after="168"/>
        <w:ind w:left="69"/>
        <w:jc w:val="center"/>
      </w:pPr>
      <w:r>
        <w:rPr>
          <w:noProof/>
        </w:rPr>
        <w:drawing>
          <wp:inline distT="0" distB="0" distL="0" distR="0" wp14:anchorId="5D886404" wp14:editId="5471E33D">
            <wp:extent cx="1486621" cy="951865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6621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5D8B2702" w14:textId="77777777" w:rsidR="009766D9" w:rsidRDefault="00911819">
      <w:pPr>
        <w:spacing w:after="148"/>
        <w:ind w:left="4"/>
        <w:jc w:val="center"/>
      </w:pPr>
      <w:r>
        <w:rPr>
          <w:rFonts w:ascii="Arial" w:eastAsia="Arial" w:hAnsi="Arial" w:cs="Arial"/>
          <w:b/>
          <w:sz w:val="28"/>
        </w:rPr>
        <w:t xml:space="preserve">Memorandum </w:t>
      </w:r>
    </w:p>
    <w:p w14:paraId="3E645E27" w14:textId="77777777" w:rsidR="009766D9" w:rsidRDefault="00911819">
      <w:pPr>
        <w:spacing w:after="5" w:line="250" w:lineRule="auto"/>
        <w:ind w:left="-5" w:right="4090" w:hanging="10"/>
      </w:pPr>
      <w:r>
        <w:rPr>
          <w:sz w:val="24"/>
        </w:rPr>
        <w:t>To</w:t>
      </w:r>
      <w:proofErr w:type="gramStart"/>
      <w:r>
        <w:rPr>
          <w:sz w:val="24"/>
        </w:rPr>
        <w:t xml:space="preserve">:  </w:t>
      </w:r>
      <w:r>
        <w:rPr>
          <w:sz w:val="24"/>
        </w:rPr>
        <w:tab/>
      </w:r>
      <w:proofErr w:type="gramEnd"/>
      <w:r>
        <w:rPr>
          <w:sz w:val="24"/>
        </w:rPr>
        <w:t xml:space="preserve">NMC and Community Practices  </w:t>
      </w:r>
      <w:r>
        <w:rPr>
          <w:sz w:val="24"/>
        </w:rPr>
        <w:tab/>
        <w:t xml:space="preserve"> </w:t>
      </w:r>
    </w:p>
    <w:p w14:paraId="2B7CE39F" w14:textId="77777777" w:rsidR="009766D9" w:rsidRDefault="00911819">
      <w:pPr>
        <w:tabs>
          <w:tab w:val="center" w:pos="3434"/>
        </w:tabs>
        <w:spacing w:after="5" w:line="250" w:lineRule="auto"/>
        <w:ind w:left="-15"/>
      </w:pPr>
      <w:r>
        <w:rPr>
          <w:sz w:val="24"/>
        </w:rPr>
        <w:t xml:space="preserve">From:  </w:t>
      </w:r>
      <w:r>
        <w:rPr>
          <w:sz w:val="24"/>
        </w:rPr>
        <w:tab/>
        <w:t xml:space="preserve">David Blin – Director, Laboratory Services  </w:t>
      </w:r>
    </w:p>
    <w:p w14:paraId="7135225A" w14:textId="77777777" w:rsidR="009766D9" w:rsidRDefault="00911819">
      <w:pPr>
        <w:tabs>
          <w:tab w:val="center" w:pos="720"/>
          <w:tab w:val="center" w:pos="4363"/>
        </w:tabs>
        <w:spacing w:after="5" w:line="250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Thomas Suppan, MD – Medical Director, Laboratory Services </w:t>
      </w:r>
    </w:p>
    <w:p w14:paraId="1E73BD80" w14:textId="77777777" w:rsidR="009766D9" w:rsidRDefault="00911819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59399311" w14:textId="77777777" w:rsidR="009766D9" w:rsidRDefault="00911819">
      <w:pPr>
        <w:tabs>
          <w:tab w:val="center" w:pos="4449"/>
        </w:tabs>
        <w:spacing w:after="0"/>
      </w:pPr>
      <w:r>
        <w:rPr>
          <w:sz w:val="24"/>
        </w:rPr>
        <w:t>Re</w:t>
      </w:r>
      <w:proofErr w:type="gramStart"/>
      <w:r>
        <w:rPr>
          <w:sz w:val="24"/>
        </w:rPr>
        <w:t xml:space="preserve">:  </w:t>
      </w:r>
      <w:r>
        <w:rPr>
          <w:sz w:val="24"/>
        </w:rPr>
        <w:tab/>
      </w:r>
      <w:proofErr w:type="gramEnd"/>
      <w:r>
        <w:rPr>
          <w:sz w:val="24"/>
        </w:rPr>
        <w:t xml:space="preserve">Clarification of CBC Testing and Requests </w:t>
      </w:r>
      <w:r>
        <w:rPr>
          <w:sz w:val="24"/>
        </w:rPr>
        <w:t xml:space="preserve">for Peripheral Smear </w:t>
      </w:r>
    </w:p>
    <w:p w14:paraId="10CBDC87" w14:textId="77777777" w:rsidR="009766D9" w:rsidRDefault="00911819">
      <w:pPr>
        <w:spacing w:after="0"/>
      </w:pPr>
      <w:r>
        <w:rPr>
          <w:sz w:val="24"/>
        </w:rPr>
        <w:t xml:space="preserve"> </w:t>
      </w:r>
    </w:p>
    <w:p w14:paraId="77D7E95A" w14:textId="77777777" w:rsidR="009766D9" w:rsidRDefault="00911819">
      <w:pPr>
        <w:tabs>
          <w:tab w:val="center" w:pos="2401"/>
        </w:tabs>
        <w:spacing w:after="5" w:line="250" w:lineRule="auto"/>
        <w:ind w:left="-15"/>
      </w:pPr>
      <w:r>
        <w:rPr>
          <w:sz w:val="24"/>
        </w:rPr>
        <w:t>Date</w:t>
      </w:r>
      <w:proofErr w:type="gramStart"/>
      <w:r>
        <w:rPr>
          <w:sz w:val="24"/>
        </w:rPr>
        <w:t xml:space="preserve">: </w:t>
      </w:r>
      <w:r>
        <w:rPr>
          <w:sz w:val="24"/>
        </w:rPr>
        <w:tab/>
        <w:t>November</w:t>
      </w:r>
      <w:proofErr w:type="gramEnd"/>
      <w:r>
        <w:rPr>
          <w:sz w:val="24"/>
        </w:rPr>
        <w:t xml:space="preserve"> 18, 2025 </w:t>
      </w:r>
    </w:p>
    <w:p w14:paraId="31201862" w14:textId="77777777" w:rsidR="009766D9" w:rsidRDefault="0091181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75436A7" w14:textId="77777777" w:rsidR="009766D9" w:rsidRDefault="00911819">
      <w:pPr>
        <w:spacing w:after="19"/>
        <w:ind w:left="-28" w:right="-33"/>
      </w:pPr>
      <w:r>
        <w:rPr>
          <w:noProof/>
        </w:rPr>
        <mc:AlternateContent>
          <mc:Choice Requires="wpg">
            <w:drawing>
              <wp:inline distT="0" distB="0" distL="0" distR="0" wp14:anchorId="302789AE" wp14:editId="77D9AEFA">
                <wp:extent cx="6838188" cy="9144"/>
                <wp:effectExtent l="0" t="0" r="0" b="0"/>
                <wp:docPr id="3267" name="Group 3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188" cy="9144"/>
                          <a:chOff x="0" y="0"/>
                          <a:chExt cx="6838188" cy="9144"/>
                        </a:xfrm>
                      </wpg:grpSpPr>
                      <wps:wsp>
                        <wps:cNvPr id="4261" name="Shape 4261"/>
                        <wps:cNvSpPr/>
                        <wps:spPr>
                          <a:xfrm>
                            <a:off x="0" y="0"/>
                            <a:ext cx="6838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188" h="9144">
                                <a:moveTo>
                                  <a:pt x="0" y="0"/>
                                </a:moveTo>
                                <a:lnTo>
                                  <a:pt x="6838188" y="0"/>
                                </a:lnTo>
                                <a:lnTo>
                                  <a:pt x="6838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7" style="width:538.44pt;height:0.719971pt;mso-position-horizontal-relative:char;mso-position-vertical-relative:line" coordsize="68381,91">
                <v:shape id="Shape 4262" style="position:absolute;width:68381;height:91;left:0;top:0;" coordsize="6838188,9144" path="m0,0l6838188,0l68381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C17059" w14:textId="77777777" w:rsidR="009766D9" w:rsidRDefault="00911819">
      <w:pPr>
        <w:spacing w:after="0" w:line="277" w:lineRule="auto"/>
      </w:pPr>
      <w:r>
        <w:rPr>
          <w:b/>
          <w:color w:val="215E99"/>
          <w:sz w:val="24"/>
        </w:rPr>
        <w:t xml:space="preserve">This memo clarifies CBC testing, including automated vs. manual differentials, the Laboratory Defined Review Process (LDRP), and when peripheral smear or pathologist review is appropriate. </w:t>
      </w:r>
    </w:p>
    <w:p w14:paraId="7BFFCB56" w14:textId="77777777" w:rsidR="009766D9" w:rsidRDefault="00911819">
      <w:pPr>
        <w:spacing w:after="163"/>
        <w:ind w:left="-28" w:right="-33"/>
      </w:pPr>
      <w:r>
        <w:rPr>
          <w:noProof/>
        </w:rPr>
        <mc:AlternateContent>
          <mc:Choice Requires="wpg">
            <w:drawing>
              <wp:inline distT="0" distB="0" distL="0" distR="0" wp14:anchorId="751A93B2" wp14:editId="17A0FCA4">
                <wp:extent cx="6838188" cy="9144"/>
                <wp:effectExtent l="0" t="0" r="0" b="0"/>
                <wp:docPr id="3268" name="Group 3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188" cy="9144"/>
                          <a:chOff x="0" y="0"/>
                          <a:chExt cx="6838188" cy="9144"/>
                        </a:xfrm>
                      </wpg:grpSpPr>
                      <wps:wsp>
                        <wps:cNvPr id="4263" name="Shape 4263"/>
                        <wps:cNvSpPr/>
                        <wps:spPr>
                          <a:xfrm>
                            <a:off x="0" y="0"/>
                            <a:ext cx="6838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188" h="9144">
                                <a:moveTo>
                                  <a:pt x="0" y="0"/>
                                </a:moveTo>
                                <a:lnTo>
                                  <a:pt x="6838188" y="0"/>
                                </a:lnTo>
                                <a:lnTo>
                                  <a:pt x="6838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8" style="width:538.44pt;height:0.720001pt;mso-position-horizontal-relative:char;mso-position-vertical-relative:line" coordsize="68381,91">
                <v:shape id="Shape 4264" style="position:absolute;width:68381;height:91;left:0;top:0;" coordsize="6838188,9144" path="m0,0l6838188,0l68381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28AD9C" w14:textId="77777777" w:rsidR="009766D9" w:rsidRDefault="00911819">
      <w:pPr>
        <w:spacing w:after="183"/>
      </w:pPr>
      <w:r>
        <w:rPr>
          <w:b/>
          <w:color w:val="0070C0"/>
          <w:sz w:val="24"/>
        </w:rPr>
        <w:t xml:space="preserve"> </w:t>
      </w:r>
    </w:p>
    <w:p w14:paraId="76990DD0" w14:textId="77777777" w:rsidR="009766D9" w:rsidRDefault="00911819">
      <w:pPr>
        <w:pStyle w:val="Heading1"/>
        <w:ind w:left="-5"/>
      </w:pPr>
      <w:r>
        <w:t>ADVANCE TECHNOLOGY</w:t>
      </w:r>
      <w:r>
        <w:t xml:space="preserve"> - </w:t>
      </w:r>
      <w:r>
        <w:t>RESULTS YOU CAN TRUST</w:t>
      </w:r>
      <w:r>
        <w:rPr>
          <w:b w:val="0"/>
        </w:rPr>
        <w:t xml:space="preserve"> </w:t>
      </w:r>
    </w:p>
    <w:p w14:paraId="68B3E417" w14:textId="77777777" w:rsidR="009766D9" w:rsidRDefault="00911819">
      <w:pPr>
        <w:spacing w:after="172" w:line="269" w:lineRule="auto"/>
        <w:ind w:left="-5" w:hanging="10"/>
      </w:pPr>
      <w:r>
        <w:rPr>
          <w:sz w:val="24"/>
        </w:rPr>
        <w:t xml:space="preserve">The NMC Laboratory utilizes sophisticated automated cell counters to perform CBC with Differential. Our analyzers are validated for accuracy across a wide range of clinical conditions.  </w:t>
      </w:r>
    </w:p>
    <w:p w14:paraId="58422630" w14:textId="77777777" w:rsidR="009766D9" w:rsidRDefault="00911819">
      <w:pPr>
        <w:spacing w:after="201"/>
      </w:pPr>
      <w:r>
        <w:rPr>
          <w:sz w:val="24"/>
        </w:rPr>
        <w:t xml:space="preserve">For most patients, </w:t>
      </w:r>
      <w:r>
        <w:rPr>
          <w:b/>
          <w:sz w:val="24"/>
          <w:u w:val="single" w:color="000000"/>
        </w:rPr>
        <w:t>the automated differential offers several advantages over a manual differential</w:t>
      </w:r>
      <w:r>
        <w:rPr>
          <w:sz w:val="24"/>
        </w:rPr>
        <w:t xml:space="preserve">. </w:t>
      </w:r>
    </w:p>
    <w:p w14:paraId="7CBFE57D" w14:textId="77777777" w:rsidR="009766D9" w:rsidRDefault="00911819">
      <w:pPr>
        <w:numPr>
          <w:ilvl w:val="0"/>
          <w:numId w:val="1"/>
        </w:numPr>
        <w:spacing w:after="1" w:line="268" w:lineRule="auto"/>
        <w:ind w:hanging="360"/>
        <w:jc w:val="both"/>
      </w:pPr>
      <w:r>
        <w:rPr>
          <w:b/>
          <w:sz w:val="24"/>
        </w:rPr>
        <w:t>Objectively evaluates thousands of individual cells</w:t>
      </w:r>
      <w:r>
        <w:rPr>
          <w:sz w:val="24"/>
        </w:rPr>
        <w:t xml:space="preserve"> versus the 100-cell manual differential </w:t>
      </w:r>
    </w:p>
    <w:p w14:paraId="68D3D562" w14:textId="77777777" w:rsidR="009766D9" w:rsidRDefault="00911819">
      <w:pPr>
        <w:numPr>
          <w:ilvl w:val="0"/>
          <w:numId w:val="1"/>
        </w:numPr>
        <w:spacing w:after="27" w:line="268" w:lineRule="auto"/>
        <w:ind w:hanging="360"/>
        <w:jc w:val="both"/>
      </w:pPr>
      <w:r>
        <w:rPr>
          <w:b/>
          <w:sz w:val="24"/>
        </w:rPr>
        <w:t>Detects subtle abnormalities and rare cell populations</w:t>
      </w:r>
      <w:r>
        <w:rPr>
          <w:sz w:val="24"/>
        </w:rPr>
        <w:t xml:space="preserve"> which could be missed with a manual review</w:t>
      </w:r>
      <w:r>
        <w:rPr>
          <w:b/>
          <w:sz w:val="24"/>
        </w:rPr>
        <w:t xml:space="preserve"> </w:t>
      </w:r>
    </w:p>
    <w:p w14:paraId="21ADFCE0" w14:textId="77777777" w:rsidR="009766D9" w:rsidRDefault="00911819">
      <w:pPr>
        <w:numPr>
          <w:ilvl w:val="0"/>
          <w:numId w:val="1"/>
        </w:numPr>
        <w:spacing w:after="146" w:line="268" w:lineRule="auto"/>
        <w:ind w:hanging="360"/>
        <w:jc w:val="both"/>
      </w:pPr>
      <w:r>
        <w:rPr>
          <w:b/>
          <w:sz w:val="24"/>
        </w:rPr>
        <w:t xml:space="preserve">Diagnostic utility well beyond the standard “normal” reference range  </w:t>
      </w:r>
    </w:p>
    <w:p w14:paraId="2ACAE2E9" w14:textId="77777777" w:rsidR="009766D9" w:rsidRDefault="00911819">
      <w:pPr>
        <w:spacing w:after="183"/>
      </w:pPr>
      <w:r>
        <w:rPr>
          <w:b/>
          <w:color w:val="0070C0"/>
          <w:sz w:val="24"/>
        </w:rPr>
        <w:t xml:space="preserve"> </w:t>
      </w:r>
    </w:p>
    <w:p w14:paraId="446FCDB3" w14:textId="77777777" w:rsidR="009766D9" w:rsidRDefault="00911819">
      <w:pPr>
        <w:pStyle w:val="Heading1"/>
        <w:ind w:left="-5"/>
      </w:pPr>
      <w:r>
        <w:t xml:space="preserve">SMEAR REVIEW AND MANUAL </w:t>
      </w:r>
      <w:proofErr w:type="gramStart"/>
      <w:r>
        <w:t xml:space="preserve">DIFFERENTIAL  </w:t>
      </w:r>
      <w:r>
        <w:t>-</w:t>
      </w:r>
      <w:proofErr w:type="gramEnd"/>
      <w:r>
        <w:t xml:space="preserve"> </w:t>
      </w:r>
      <w:r>
        <w:t>ONLY WHEN APPROPRIATE</w:t>
      </w:r>
      <w:r>
        <w:t xml:space="preserve"> </w:t>
      </w:r>
    </w:p>
    <w:p w14:paraId="103329B1" w14:textId="77777777" w:rsidR="009766D9" w:rsidRDefault="00911819">
      <w:pPr>
        <w:spacing w:after="213" w:line="268" w:lineRule="auto"/>
        <w:ind w:left="10" w:hanging="10"/>
        <w:jc w:val="both"/>
      </w:pPr>
      <w:r>
        <w:rPr>
          <w:b/>
          <w:sz w:val="24"/>
        </w:rPr>
        <w:t>NMC follows national best practices using LDRP to perform manual smear reviews only when clinically indicated.</w:t>
      </w:r>
      <w:r>
        <w:rPr>
          <w:sz w:val="24"/>
        </w:rPr>
        <w:t xml:space="preserve"> Under pathologist oversight, this protocol was validated against hundreds of smear comparisons. </w:t>
      </w:r>
      <w:r>
        <w:rPr>
          <w:b/>
          <w:sz w:val="24"/>
        </w:rPr>
        <w:t xml:space="preserve">Evidence shows laboratory-initiated reviews to be more effective than </w:t>
      </w:r>
      <w:proofErr w:type="spellStart"/>
      <w:r>
        <w:rPr>
          <w:b/>
          <w:sz w:val="24"/>
        </w:rPr>
        <w:t>providerinitiated</w:t>
      </w:r>
      <w:proofErr w:type="spellEnd"/>
      <w:r>
        <w:rPr>
          <w:b/>
          <w:sz w:val="24"/>
        </w:rPr>
        <w:t xml:space="preserve"> requests</w:t>
      </w:r>
      <w:r>
        <w:rPr>
          <w:sz w:val="24"/>
        </w:rPr>
        <w:t xml:space="preserve">. </w:t>
      </w:r>
      <w:r>
        <w:rPr>
          <w:sz w:val="21"/>
          <w:vertAlign w:val="superscript"/>
        </w:rPr>
        <w:t>(1) (2) (3) (4)</w:t>
      </w:r>
      <w:r>
        <w:rPr>
          <w:sz w:val="24"/>
        </w:rPr>
        <w:t xml:space="preserve">  </w:t>
      </w:r>
    </w:p>
    <w:p w14:paraId="15D320BA" w14:textId="77777777" w:rsidR="009766D9" w:rsidRDefault="00911819">
      <w:pPr>
        <w:spacing w:after="130" w:line="269" w:lineRule="auto"/>
        <w:ind w:left="10" w:hanging="10"/>
      </w:pPr>
      <w:r>
        <w:rPr>
          <w:sz w:val="24"/>
        </w:rPr>
        <w:t xml:space="preserve">Key triggers include: </w:t>
      </w:r>
    </w:p>
    <w:p w14:paraId="5F9B469A" w14:textId="77777777" w:rsidR="009766D9" w:rsidRDefault="00911819">
      <w:pPr>
        <w:numPr>
          <w:ilvl w:val="0"/>
          <w:numId w:val="2"/>
        </w:numPr>
        <w:spacing w:after="8" w:line="269" w:lineRule="auto"/>
        <w:ind w:hanging="360"/>
      </w:pPr>
      <w:r>
        <w:rPr>
          <w:sz w:val="24"/>
        </w:rPr>
        <w:t xml:space="preserve">Results outside the analyzer’s validated range  </w:t>
      </w:r>
    </w:p>
    <w:p w14:paraId="62F06346" w14:textId="77777777" w:rsidR="009766D9" w:rsidRDefault="00911819">
      <w:pPr>
        <w:numPr>
          <w:ilvl w:val="0"/>
          <w:numId w:val="2"/>
        </w:numPr>
        <w:spacing w:after="8" w:line="269" w:lineRule="auto"/>
        <w:ind w:hanging="360"/>
      </w:pPr>
      <w:r>
        <w:rPr>
          <w:sz w:val="24"/>
        </w:rPr>
        <w:t xml:space="preserve">Instrument flagging for suspected abnormal cells  </w:t>
      </w:r>
    </w:p>
    <w:p w14:paraId="3B1D72C2" w14:textId="77777777" w:rsidR="009766D9" w:rsidRDefault="00911819">
      <w:pPr>
        <w:numPr>
          <w:ilvl w:val="0"/>
          <w:numId w:val="2"/>
        </w:numPr>
        <w:spacing w:after="8" w:line="269" w:lineRule="auto"/>
        <w:ind w:hanging="360"/>
      </w:pPr>
      <w:r>
        <w:rPr>
          <w:sz w:val="24"/>
        </w:rPr>
        <w:t xml:space="preserve">Absolute counts exceeding defined thresholds </w:t>
      </w:r>
    </w:p>
    <w:p w14:paraId="73C85FC1" w14:textId="77777777" w:rsidR="009766D9" w:rsidRDefault="00911819">
      <w:pPr>
        <w:spacing w:after="183"/>
      </w:pPr>
      <w:r>
        <w:rPr>
          <w:b/>
          <w:color w:val="0070C0"/>
          <w:sz w:val="24"/>
        </w:rPr>
        <w:t xml:space="preserve"> </w:t>
      </w:r>
    </w:p>
    <w:p w14:paraId="690E62CD" w14:textId="77777777" w:rsidR="009766D9" w:rsidRDefault="00911819">
      <w:pPr>
        <w:pStyle w:val="Heading1"/>
        <w:ind w:left="-5"/>
      </w:pPr>
      <w:r>
        <w:lastRenderedPageBreak/>
        <w:t xml:space="preserve">PATHOLOGIST REVIEW </w:t>
      </w:r>
      <w:r>
        <w:t xml:space="preserve">– </w:t>
      </w:r>
      <w:r>
        <w:t>COVERING A WIDE RANGE OF SIGNIFICANT FINDINGS</w:t>
      </w:r>
      <w:r>
        <w:t xml:space="preserve"> </w:t>
      </w:r>
    </w:p>
    <w:p w14:paraId="67F13DB1" w14:textId="77777777" w:rsidR="009766D9" w:rsidRDefault="00911819">
      <w:pPr>
        <w:spacing w:after="1" w:line="268" w:lineRule="auto"/>
        <w:ind w:left="10" w:hanging="10"/>
        <w:jc w:val="both"/>
      </w:pPr>
      <w:r>
        <w:rPr>
          <w:b/>
          <w:sz w:val="24"/>
        </w:rPr>
        <w:t xml:space="preserve">Clinically significant findings automatically trigger a higher-level review by a Pathologist.  </w:t>
      </w:r>
    </w:p>
    <w:tbl>
      <w:tblPr>
        <w:tblStyle w:val="TableGrid"/>
        <w:tblW w:w="10076" w:type="dxa"/>
        <w:tblInd w:w="12" w:type="dxa"/>
        <w:tblCellMar>
          <w:top w:w="34" w:type="dxa"/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3341"/>
        <w:gridCol w:w="3337"/>
      </w:tblGrid>
      <w:tr w:rsidR="009766D9" w14:paraId="38D0D99E" w14:textId="77777777">
        <w:trPr>
          <w:trHeight w:val="312"/>
        </w:trPr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</w:tcPr>
          <w:p w14:paraId="2CD8ACBB" w14:textId="77777777" w:rsidR="009766D9" w:rsidRDefault="00911819">
            <w:pPr>
              <w:spacing w:after="0"/>
              <w:ind w:left="8"/>
              <w:jc w:val="center"/>
            </w:pPr>
            <w:r>
              <w:rPr>
                <w:b/>
              </w:rPr>
              <w:t xml:space="preserve">WBC Abnormalities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</w:tcPr>
          <w:p w14:paraId="0F675E53" w14:textId="77777777" w:rsidR="009766D9" w:rsidRDefault="00911819">
            <w:pPr>
              <w:spacing w:after="0"/>
              <w:ind w:left="10"/>
              <w:jc w:val="center"/>
            </w:pPr>
            <w:r>
              <w:rPr>
                <w:b/>
              </w:rPr>
              <w:t xml:space="preserve">RBC Abnormalities 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E6F5"/>
          </w:tcPr>
          <w:p w14:paraId="0B9A4835" w14:textId="77777777" w:rsidR="009766D9" w:rsidRDefault="00911819">
            <w:pPr>
              <w:spacing w:after="0"/>
              <w:ind w:left="11"/>
              <w:jc w:val="center"/>
            </w:pPr>
            <w:r>
              <w:rPr>
                <w:b/>
              </w:rPr>
              <w:t xml:space="preserve">Platelet Abnormalities </w:t>
            </w:r>
          </w:p>
        </w:tc>
      </w:tr>
      <w:tr w:rsidR="009766D9" w14:paraId="761B63D4" w14:textId="77777777">
        <w:trPr>
          <w:trHeight w:val="611"/>
        </w:trPr>
        <w:tc>
          <w:tcPr>
            <w:tcW w:w="3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95D5D" w14:textId="77777777" w:rsidR="009766D9" w:rsidRDefault="00911819">
            <w:pPr>
              <w:spacing w:after="0"/>
              <w:ind w:left="437"/>
            </w:pPr>
            <w:r>
              <w:t xml:space="preserve">Leukopenia (&lt;2.0)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7FE5" w14:textId="77777777" w:rsidR="009766D9" w:rsidRDefault="00911819">
            <w:pPr>
              <w:spacing w:after="0"/>
            </w:pPr>
            <w:r>
              <w:t xml:space="preserve">Microcytic/Macrocytic anemia     </w:t>
            </w:r>
            <w:proofErr w:type="gramStart"/>
            <w:r>
              <w:t xml:space="preserve">   (</w:t>
            </w:r>
            <w:proofErr w:type="gramEnd"/>
            <w:r>
              <w:t xml:space="preserve">1st occurrence)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A3621" w14:textId="77777777" w:rsidR="009766D9" w:rsidRDefault="00911819">
            <w:pPr>
              <w:spacing w:after="0"/>
            </w:pPr>
            <w:r>
              <w:t xml:space="preserve">Thrombocytopenia               </w:t>
            </w:r>
            <w:proofErr w:type="gramStart"/>
            <w:r>
              <w:t xml:space="preserve">   (</w:t>
            </w:r>
            <w:proofErr w:type="gramEnd"/>
            <w:r>
              <w:t xml:space="preserve">&lt;50,000, 1st occurrence) </w:t>
            </w:r>
          </w:p>
        </w:tc>
      </w:tr>
      <w:tr w:rsidR="009766D9" w14:paraId="7F3615E6" w14:textId="77777777">
        <w:trPr>
          <w:trHeight w:val="611"/>
        </w:trPr>
        <w:tc>
          <w:tcPr>
            <w:tcW w:w="3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1C609" w14:textId="77777777" w:rsidR="009766D9" w:rsidRDefault="00911819">
            <w:pPr>
              <w:spacing w:after="0"/>
              <w:ind w:left="437"/>
            </w:pPr>
            <w:r>
              <w:t xml:space="preserve">Leukocytosis (&gt;50.0)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71139" w14:textId="77777777" w:rsidR="009766D9" w:rsidRDefault="00911819">
            <w:pPr>
              <w:spacing w:after="0"/>
            </w:pPr>
            <w:r>
              <w:t xml:space="preserve">Schistocytes (≥2+)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4C9C43" w14:textId="77777777" w:rsidR="009766D9" w:rsidRDefault="00911819">
            <w:pPr>
              <w:spacing w:after="0"/>
            </w:pPr>
            <w:r>
              <w:t xml:space="preserve">Thrombocytosis                         </w:t>
            </w:r>
          </w:p>
          <w:p w14:paraId="63138730" w14:textId="77777777" w:rsidR="009766D9" w:rsidRDefault="00911819">
            <w:pPr>
              <w:spacing w:after="0"/>
            </w:pPr>
            <w:r>
              <w:t xml:space="preserve">(&gt;900,000, 1st occurrence) </w:t>
            </w:r>
          </w:p>
        </w:tc>
      </w:tr>
      <w:tr w:rsidR="009766D9" w14:paraId="1FF544B6" w14:textId="77777777">
        <w:trPr>
          <w:trHeight w:val="308"/>
        </w:trPr>
        <w:tc>
          <w:tcPr>
            <w:tcW w:w="3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F3141C" w14:textId="77777777" w:rsidR="009766D9" w:rsidRDefault="00911819">
            <w:pPr>
              <w:spacing w:after="0"/>
              <w:ind w:left="437"/>
            </w:pPr>
            <w:r>
              <w:t xml:space="preserve">Bands (&gt;10%)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643F" w14:textId="77777777" w:rsidR="009766D9" w:rsidRDefault="00911819">
            <w:pPr>
              <w:spacing w:after="0"/>
            </w:pPr>
            <w:r>
              <w:t xml:space="preserve">Sickle cells </w:t>
            </w:r>
          </w:p>
        </w:tc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3AD71D8" w14:textId="77777777" w:rsidR="009766D9" w:rsidRDefault="00911819">
            <w:pPr>
              <w:spacing w:after="0"/>
              <w:ind w:left="50"/>
              <w:jc w:val="center"/>
            </w:pPr>
            <w:r>
              <w:t xml:space="preserve">  </w:t>
            </w:r>
          </w:p>
        </w:tc>
      </w:tr>
      <w:tr w:rsidR="009766D9" w14:paraId="640A192C" w14:textId="77777777">
        <w:trPr>
          <w:trHeight w:val="319"/>
        </w:trPr>
        <w:tc>
          <w:tcPr>
            <w:tcW w:w="3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59C8CB" w14:textId="77777777" w:rsidR="009766D9" w:rsidRDefault="00911819">
            <w:pPr>
              <w:spacing w:after="0"/>
              <w:ind w:left="437"/>
            </w:pPr>
            <w:r>
              <w:t xml:space="preserve">Lymphocytosis (&gt;5.0 in adults)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E2F2" w14:textId="77777777" w:rsidR="009766D9" w:rsidRDefault="00911819">
            <w:pPr>
              <w:spacing w:after="0"/>
            </w:pPr>
            <w:r>
              <w:t xml:space="preserve">Reticulocyte count &gt;8.0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2A73788" w14:textId="77777777" w:rsidR="009766D9" w:rsidRDefault="009766D9"/>
        </w:tc>
      </w:tr>
      <w:tr w:rsidR="009766D9" w14:paraId="6A888278" w14:textId="77777777">
        <w:trPr>
          <w:trHeight w:val="323"/>
        </w:trPr>
        <w:tc>
          <w:tcPr>
            <w:tcW w:w="3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7492BD" w14:textId="77777777" w:rsidR="009766D9" w:rsidRDefault="00911819">
            <w:pPr>
              <w:spacing w:after="0"/>
              <w:ind w:left="437"/>
            </w:pPr>
            <w:r>
              <w:t xml:space="preserve">Lymphopenia (&lt;0.5) 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40C3" w14:textId="77777777" w:rsidR="009766D9" w:rsidRDefault="00911819">
            <w:pPr>
              <w:spacing w:after="0"/>
            </w:pPr>
            <w:r>
              <w:t xml:space="preserve">Malaria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2776C74" w14:textId="77777777" w:rsidR="009766D9" w:rsidRDefault="009766D9"/>
        </w:tc>
      </w:tr>
      <w:tr w:rsidR="009766D9" w14:paraId="2A26578E" w14:textId="77777777">
        <w:trPr>
          <w:trHeight w:val="318"/>
        </w:trPr>
        <w:tc>
          <w:tcPr>
            <w:tcW w:w="3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0217D4" w14:textId="77777777" w:rsidR="009766D9" w:rsidRDefault="00911819">
            <w:pPr>
              <w:spacing w:after="0"/>
              <w:ind w:left="437"/>
            </w:pPr>
            <w:r>
              <w:t xml:space="preserve">Atypical Lymphocytes (&gt;10%) 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558D882" w14:textId="77777777" w:rsidR="009766D9" w:rsidRDefault="00911819">
            <w:pPr>
              <w:spacing w:after="0"/>
              <w:ind w:left="46"/>
              <w:jc w:val="center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C76F1C7" w14:textId="77777777" w:rsidR="009766D9" w:rsidRDefault="009766D9"/>
        </w:tc>
      </w:tr>
      <w:tr w:rsidR="009766D9" w14:paraId="56278178" w14:textId="77777777">
        <w:trPr>
          <w:trHeight w:val="338"/>
        </w:trPr>
        <w:tc>
          <w:tcPr>
            <w:tcW w:w="33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F9AA98" w14:textId="77777777" w:rsidR="009766D9" w:rsidRDefault="00911819">
            <w:pPr>
              <w:spacing w:after="0"/>
              <w:ind w:left="437"/>
            </w:pPr>
            <w:r>
              <w:t xml:space="preserve">Blasts (1st occurrence)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12520C" w14:textId="77777777" w:rsidR="009766D9" w:rsidRDefault="009766D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E2857A" w14:textId="77777777" w:rsidR="009766D9" w:rsidRDefault="009766D9"/>
        </w:tc>
      </w:tr>
    </w:tbl>
    <w:p w14:paraId="449EC4DD" w14:textId="77777777" w:rsidR="009766D9" w:rsidRDefault="00911819">
      <w:pPr>
        <w:spacing w:after="88"/>
      </w:pPr>
      <w:r>
        <w:rPr>
          <w:sz w:val="16"/>
        </w:rPr>
        <w:t xml:space="preserve"> </w:t>
      </w:r>
    </w:p>
    <w:p w14:paraId="19F33E2F" w14:textId="77777777" w:rsidR="009766D9" w:rsidRDefault="00911819">
      <w:pPr>
        <w:spacing w:after="178" w:line="298" w:lineRule="auto"/>
      </w:pPr>
      <w:r>
        <w:rPr>
          <w:sz w:val="24"/>
        </w:rPr>
        <w:t>For a complete list of qualifying criteria, visit:</w:t>
      </w:r>
      <w:r>
        <w:rPr>
          <w:color w:val="0070C0"/>
          <w:sz w:val="24"/>
        </w:rPr>
        <w:t xml:space="preserve"> </w:t>
      </w:r>
      <w:hyperlink r:id="rId8">
        <w:r>
          <w:rPr>
            <w:i/>
            <w:color w:val="0070C0"/>
            <w:sz w:val="20"/>
            <w:u w:val="single" w:color="0070C0"/>
          </w:rPr>
          <w:t>https://www.medialab.com/dv/dl.aspx?d=3103663&amp;dh=d83b7cc72dea&amp;u=198554&amp;uh=1ee4b8ab4db3</w:t>
        </w:r>
      </w:hyperlink>
      <w:hyperlink r:id="rId9">
        <w:r>
          <w:rPr>
            <w:i/>
            <w:color w:val="0070C0"/>
            <w:sz w:val="20"/>
          </w:rPr>
          <w:t xml:space="preserve"> </w:t>
        </w:r>
      </w:hyperlink>
      <w:hyperlink r:id="rId10">
        <w:r>
          <w:rPr>
            <w:i/>
            <w:sz w:val="20"/>
          </w:rPr>
          <w:t xml:space="preserve"> </w:t>
        </w:r>
      </w:hyperlink>
    </w:p>
    <w:p w14:paraId="23A55A22" w14:textId="77777777" w:rsidR="009766D9" w:rsidRDefault="00911819">
      <w:pPr>
        <w:spacing w:after="24"/>
      </w:pPr>
      <w:r>
        <w:rPr>
          <w:b/>
          <w:color w:val="0070C0"/>
          <w:sz w:val="24"/>
        </w:rPr>
        <w:t xml:space="preserve"> </w:t>
      </w:r>
    </w:p>
    <w:p w14:paraId="197F81A7" w14:textId="77777777" w:rsidR="009766D9" w:rsidRDefault="00911819">
      <w:pPr>
        <w:pStyle w:val="Heading1"/>
        <w:ind w:left="-5"/>
      </w:pPr>
      <w:r>
        <w:t>PERIPHERAL SMEAR REQUESTS</w:t>
      </w:r>
      <w:r>
        <w:t xml:space="preserve"> – </w:t>
      </w:r>
      <w:r>
        <w:t>COLLABORATIVE, EVIDENCE</w:t>
      </w:r>
      <w:r>
        <w:t>-</w:t>
      </w:r>
      <w:r>
        <w:t>BASED APPROACH</w:t>
      </w:r>
      <w:r>
        <w:t xml:space="preserve"> </w:t>
      </w:r>
    </w:p>
    <w:p w14:paraId="4B9D9917" w14:textId="77777777" w:rsidR="009766D9" w:rsidRDefault="00911819">
      <w:pPr>
        <w:spacing w:after="169" w:line="269" w:lineRule="auto"/>
        <w:ind w:left="10" w:hanging="10"/>
      </w:pPr>
      <w:r>
        <w:rPr>
          <w:sz w:val="24"/>
        </w:rPr>
        <w:t xml:space="preserve">At NMC, we truly appreciate the clinical judgment providers bring to patient care, however many provider-initiated smear requests do not align with evidence-based criteria and often add little clinical value. LDRP ensures reviews occur only when indicated, supporting accuracy and reducing unnecessary testing.  </w:t>
      </w:r>
    </w:p>
    <w:p w14:paraId="7806F4BF" w14:textId="77777777" w:rsidR="009766D9" w:rsidRDefault="00911819">
      <w:pPr>
        <w:spacing w:after="22"/>
      </w:pPr>
      <w:r>
        <w:rPr>
          <w:b/>
          <w:color w:val="0070C0"/>
          <w:sz w:val="24"/>
        </w:rPr>
        <w:t xml:space="preserve"> </w:t>
      </w:r>
    </w:p>
    <w:p w14:paraId="3DE84B15" w14:textId="77777777" w:rsidR="009766D9" w:rsidRDefault="00911819">
      <w:pPr>
        <w:pStyle w:val="Heading1"/>
        <w:ind w:left="-5"/>
      </w:pPr>
      <w:r>
        <w:t>ORDERING GUIDANCE</w:t>
      </w:r>
      <w:r>
        <w:t xml:space="preserve"> </w:t>
      </w:r>
    </w:p>
    <w:p w14:paraId="13953CAC" w14:textId="77777777" w:rsidR="009766D9" w:rsidRDefault="00911819">
      <w:pPr>
        <w:spacing w:after="172" w:line="269" w:lineRule="auto"/>
        <w:ind w:left="-5" w:hanging="10"/>
      </w:pPr>
      <w:r>
        <w:rPr>
          <w:sz w:val="24"/>
        </w:rPr>
        <w:t>The NMC Laboratory follows evidence-</w:t>
      </w:r>
      <w:r>
        <w:rPr>
          <w:sz w:val="24"/>
        </w:rPr>
        <w:t xml:space="preserve">based best practices and offers the following hematology tests: </w:t>
      </w:r>
    </w:p>
    <w:p w14:paraId="5F45565E" w14:textId="77777777" w:rsidR="009766D9" w:rsidRDefault="00911819">
      <w:pPr>
        <w:numPr>
          <w:ilvl w:val="0"/>
          <w:numId w:val="3"/>
        </w:numPr>
        <w:spacing w:after="111" w:line="269" w:lineRule="auto"/>
        <w:ind w:hanging="360"/>
      </w:pPr>
      <w:r>
        <w:rPr>
          <w:b/>
          <w:sz w:val="24"/>
        </w:rPr>
        <w:t>CBC</w:t>
      </w:r>
      <w:r>
        <w:rPr>
          <w:sz w:val="24"/>
        </w:rPr>
        <w:t xml:space="preserve"> – Includes WBC, RBC, Platelet counts, and RBC indices. </w:t>
      </w:r>
    </w:p>
    <w:p w14:paraId="020F43B9" w14:textId="77777777" w:rsidR="009766D9" w:rsidRDefault="00911819">
      <w:pPr>
        <w:numPr>
          <w:ilvl w:val="0"/>
          <w:numId w:val="3"/>
        </w:numPr>
        <w:spacing w:after="111" w:line="269" w:lineRule="auto"/>
        <w:ind w:hanging="360"/>
      </w:pPr>
      <w:r>
        <w:rPr>
          <w:b/>
          <w:sz w:val="24"/>
        </w:rPr>
        <w:t>CBC with Differential (CBCD)</w:t>
      </w:r>
      <w:r>
        <w:rPr>
          <w:sz w:val="24"/>
        </w:rPr>
        <w:t xml:space="preserve"> – Automated unless a manual is indicated by LDRP protocol.  </w:t>
      </w:r>
    </w:p>
    <w:p w14:paraId="1EA5AF14" w14:textId="77777777" w:rsidR="009766D9" w:rsidRDefault="00911819">
      <w:pPr>
        <w:numPr>
          <w:ilvl w:val="0"/>
          <w:numId w:val="3"/>
        </w:numPr>
        <w:spacing w:after="123"/>
        <w:ind w:hanging="360"/>
      </w:pPr>
      <w:r>
        <w:rPr>
          <w:b/>
          <w:sz w:val="24"/>
        </w:rPr>
        <w:t>Slide Held</w:t>
      </w:r>
      <w:r>
        <w:rPr>
          <w:sz w:val="24"/>
        </w:rPr>
        <w:t xml:space="preserve"> – </w:t>
      </w:r>
      <w:r>
        <w:rPr>
          <w:sz w:val="24"/>
          <w:u w:val="single" w:color="000000"/>
        </w:rPr>
        <w:t>a slide will be held for one year whenever a peripheral smear is requested</w:t>
      </w:r>
      <w:r>
        <w:rPr>
          <w:sz w:val="24"/>
        </w:rPr>
        <w:t xml:space="preserve">. </w:t>
      </w:r>
    </w:p>
    <w:p w14:paraId="553A65D0" w14:textId="77777777" w:rsidR="009766D9" w:rsidRDefault="00911819">
      <w:pPr>
        <w:numPr>
          <w:ilvl w:val="0"/>
          <w:numId w:val="3"/>
        </w:numPr>
        <w:spacing w:after="67" w:line="269" w:lineRule="auto"/>
        <w:ind w:hanging="360"/>
      </w:pPr>
      <w:r>
        <w:rPr>
          <w:b/>
          <w:sz w:val="24"/>
        </w:rPr>
        <w:t>Pathology Clinical Consult (NMC Hematology)</w:t>
      </w:r>
      <w:r>
        <w:rPr>
          <w:sz w:val="24"/>
        </w:rPr>
        <w:t xml:space="preserve"> – Provider initiated requests must include: </w:t>
      </w:r>
    </w:p>
    <w:p w14:paraId="3C60BB59" w14:textId="77777777" w:rsidR="009766D9" w:rsidRDefault="00911819">
      <w:pPr>
        <w:spacing w:after="41" w:line="273" w:lineRule="auto"/>
        <w:ind w:left="1080" w:right="3124"/>
        <w:jc w:val="both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sz w:val="24"/>
        </w:rPr>
        <w:t xml:space="preserve">Accompanying order for CBC with Differential </w:t>
      </w:r>
      <w:proofErr w:type="gramStart"/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sz w:val="24"/>
        </w:rPr>
        <w:t>Clinical history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sz w:val="20"/>
        </w:rPr>
        <w:t>o</w:t>
      </w:r>
      <w:proofErr w:type="spellEnd"/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sz w:val="24"/>
        </w:rPr>
        <w:t>Documentation</w:t>
      </w:r>
      <w:proofErr w:type="gramEnd"/>
      <w:r>
        <w:rPr>
          <w:sz w:val="24"/>
        </w:rPr>
        <w:t xml:space="preserve"> of Medical Necessity including ICD-10 code </w:t>
      </w:r>
    </w:p>
    <w:p w14:paraId="6600168D" w14:textId="77777777" w:rsidR="009766D9" w:rsidRDefault="00911819">
      <w:pPr>
        <w:spacing w:after="173" w:line="269" w:lineRule="auto"/>
        <w:ind w:left="730" w:hanging="10"/>
      </w:pPr>
      <w:r>
        <w:rPr>
          <w:sz w:val="24"/>
        </w:rPr>
        <w:t xml:space="preserve">Note that this clinical consult may result in Part B professional billing. </w:t>
      </w:r>
    </w:p>
    <w:p w14:paraId="2C6E1B88" w14:textId="77777777" w:rsidR="009766D9" w:rsidRDefault="00911819">
      <w:pPr>
        <w:spacing w:after="0"/>
      </w:pPr>
      <w:r>
        <w:rPr>
          <w:b/>
          <w:sz w:val="24"/>
        </w:rPr>
        <w:t xml:space="preserve"> </w:t>
      </w:r>
    </w:p>
    <w:p w14:paraId="1722F0FF" w14:textId="77777777" w:rsidR="009766D9" w:rsidRDefault="00911819">
      <w:pPr>
        <w:spacing w:after="142"/>
      </w:pPr>
      <w:r>
        <w:rPr>
          <w:b/>
          <w:sz w:val="24"/>
        </w:rPr>
        <w:t xml:space="preserve">Please contact the Laboratory (802-524-1070) with any questions or concerns. </w:t>
      </w:r>
    </w:p>
    <w:p w14:paraId="32843024" w14:textId="77777777" w:rsidR="009766D9" w:rsidRDefault="00911819">
      <w:pPr>
        <w:spacing w:after="0"/>
      </w:pPr>
      <w:r>
        <w:t xml:space="preserve"> </w:t>
      </w:r>
    </w:p>
    <w:p w14:paraId="1437B630" w14:textId="77777777" w:rsidR="009766D9" w:rsidRDefault="00911819">
      <w:pPr>
        <w:spacing w:after="158"/>
      </w:pPr>
      <w:r>
        <w:t xml:space="preserve"> </w:t>
      </w:r>
    </w:p>
    <w:p w14:paraId="38551280" w14:textId="77777777" w:rsidR="009766D9" w:rsidRDefault="00911819">
      <w:r>
        <w:t xml:space="preserve"> </w:t>
      </w:r>
    </w:p>
    <w:p w14:paraId="32B381C8" w14:textId="77777777" w:rsidR="009766D9" w:rsidRDefault="00911819">
      <w:pPr>
        <w:spacing w:after="158"/>
      </w:pPr>
      <w:r>
        <w:t xml:space="preserve"> </w:t>
      </w:r>
    </w:p>
    <w:p w14:paraId="2B86A1DC" w14:textId="77777777" w:rsidR="009766D9" w:rsidRDefault="00911819">
      <w:r>
        <w:lastRenderedPageBreak/>
        <w:t xml:space="preserve"> </w:t>
      </w:r>
    </w:p>
    <w:p w14:paraId="66FC4458" w14:textId="77777777" w:rsidR="009766D9" w:rsidRDefault="00911819">
      <w:pPr>
        <w:spacing w:after="158"/>
      </w:pPr>
      <w:r>
        <w:t xml:space="preserve"> </w:t>
      </w:r>
    </w:p>
    <w:p w14:paraId="76D6D27C" w14:textId="77777777" w:rsidR="009766D9" w:rsidRDefault="00911819">
      <w:r>
        <w:t xml:space="preserve"> </w:t>
      </w:r>
    </w:p>
    <w:p w14:paraId="2A55DC2E" w14:textId="77777777" w:rsidR="009766D9" w:rsidRDefault="00911819">
      <w:pPr>
        <w:spacing w:after="158"/>
      </w:pPr>
      <w:r>
        <w:t xml:space="preserve"> </w:t>
      </w:r>
    </w:p>
    <w:p w14:paraId="3AEC9160" w14:textId="77777777" w:rsidR="009766D9" w:rsidRDefault="00911819">
      <w:pPr>
        <w:spacing w:after="158"/>
      </w:pPr>
      <w:r>
        <w:t xml:space="preserve"> </w:t>
      </w:r>
    </w:p>
    <w:p w14:paraId="2091E05A" w14:textId="77777777" w:rsidR="009766D9" w:rsidRDefault="00911819">
      <w:r>
        <w:t xml:space="preserve"> </w:t>
      </w:r>
    </w:p>
    <w:p w14:paraId="17589352" w14:textId="77777777" w:rsidR="009766D9" w:rsidRDefault="00911819">
      <w:pPr>
        <w:spacing w:after="158"/>
      </w:pPr>
      <w:r>
        <w:t xml:space="preserve"> </w:t>
      </w:r>
    </w:p>
    <w:p w14:paraId="3C18743A" w14:textId="77777777" w:rsidR="009766D9" w:rsidRDefault="00911819">
      <w:r>
        <w:t xml:space="preserve"> </w:t>
      </w:r>
    </w:p>
    <w:p w14:paraId="112F9AD5" w14:textId="77777777" w:rsidR="009766D9" w:rsidRDefault="00911819">
      <w:pPr>
        <w:spacing w:after="158"/>
      </w:pPr>
      <w:r>
        <w:t xml:space="preserve"> </w:t>
      </w:r>
    </w:p>
    <w:p w14:paraId="6A5394F9" w14:textId="77777777" w:rsidR="009766D9" w:rsidRDefault="00911819">
      <w:pPr>
        <w:spacing w:after="158"/>
      </w:pPr>
      <w:r>
        <w:t xml:space="preserve"> </w:t>
      </w:r>
    </w:p>
    <w:p w14:paraId="23870C1F" w14:textId="77777777" w:rsidR="009766D9" w:rsidRDefault="00911819">
      <w:r>
        <w:t xml:space="preserve"> </w:t>
      </w:r>
    </w:p>
    <w:p w14:paraId="0EE8B7D0" w14:textId="77777777" w:rsidR="009766D9" w:rsidRDefault="00911819">
      <w:pPr>
        <w:spacing w:after="158"/>
      </w:pPr>
      <w:r>
        <w:t xml:space="preserve"> </w:t>
      </w:r>
    </w:p>
    <w:p w14:paraId="10E06308" w14:textId="77777777" w:rsidR="009766D9" w:rsidRDefault="00911819">
      <w:r>
        <w:t xml:space="preserve"> </w:t>
      </w:r>
    </w:p>
    <w:p w14:paraId="0B43F3CA" w14:textId="77777777" w:rsidR="009766D9" w:rsidRDefault="00911819">
      <w:pPr>
        <w:spacing w:after="158"/>
      </w:pPr>
      <w:r>
        <w:t xml:space="preserve"> </w:t>
      </w:r>
    </w:p>
    <w:p w14:paraId="48EC439B" w14:textId="77777777" w:rsidR="009766D9" w:rsidRDefault="00911819">
      <w:r>
        <w:t xml:space="preserve"> </w:t>
      </w:r>
    </w:p>
    <w:p w14:paraId="2AEA6621" w14:textId="77777777" w:rsidR="009766D9" w:rsidRDefault="00911819">
      <w:pPr>
        <w:spacing w:after="158"/>
      </w:pPr>
      <w:r>
        <w:t xml:space="preserve"> </w:t>
      </w:r>
    </w:p>
    <w:p w14:paraId="7D5CCB23" w14:textId="77777777" w:rsidR="009766D9" w:rsidRDefault="00911819">
      <w:pPr>
        <w:spacing w:after="158"/>
      </w:pPr>
      <w:r>
        <w:t xml:space="preserve"> </w:t>
      </w:r>
    </w:p>
    <w:p w14:paraId="6BEA0508" w14:textId="77777777" w:rsidR="009766D9" w:rsidRDefault="00911819">
      <w:r>
        <w:t xml:space="preserve"> </w:t>
      </w:r>
    </w:p>
    <w:p w14:paraId="0BD005E9" w14:textId="77777777" w:rsidR="009766D9" w:rsidRDefault="00911819">
      <w:pPr>
        <w:spacing w:after="158"/>
      </w:pPr>
      <w:r>
        <w:t xml:space="preserve"> </w:t>
      </w:r>
    </w:p>
    <w:p w14:paraId="467F74D1" w14:textId="77777777" w:rsidR="009766D9" w:rsidRDefault="00911819">
      <w:r>
        <w:t xml:space="preserve"> </w:t>
      </w:r>
    </w:p>
    <w:p w14:paraId="22B1401B" w14:textId="77777777" w:rsidR="009766D9" w:rsidRDefault="00911819">
      <w:pPr>
        <w:spacing w:after="0"/>
      </w:pPr>
      <w:r>
        <w:t xml:space="preserve"> </w:t>
      </w:r>
    </w:p>
    <w:p w14:paraId="04F51EE8" w14:textId="77777777" w:rsidR="009766D9" w:rsidRDefault="00911819">
      <w:pPr>
        <w:spacing w:after="161"/>
        <w:ind w:left="-28" w:right="-33"/>
      </w:pPr>
      <w:r>
        <w:rPr>
          <w:noProof/>
        </w:rPr>
        <mc:AlternateContent>
          <mc:Choice Requires="wpg">
            <w:drawing>
              <wp:inline distT="0" distB="0" distL="0" distR="0" wp14:anchorId="1608E57D" wp14:editId="6E58B1F1">
                <wp:extent cx="6838188" cy="9144"/>
                <wp:effectExtent l="0" t="0" r="0" b="0"/>
                <wp:docPr id="3213" name="Group 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188" cy="9144"/>
                          <a:chOff x="0" y="0"/>
                          <a:chExt cx="6838188" cy="9144"/>
                        </a:xfrm>
                      </wpg:grpSpPr>
                      <wps:wsp>
                        <wps:cNvPr id="4265" name="Shape 4265"/>
                        <wps:cNvSpPr/>
                        <wps:spPr>
                          <a:xfrm>
                            <a:off x="0" y="0"/>
                            <a:ext cx="6838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188" h="9144">
                                <a:moveTo>
                                  <a:pt x="0" y="0"/>
                                </a:moveTo>
                                <a:lnTo>
                                  <a:pt x="6838188" y="0"/>
                                </a:lnTo>
                                <a:lnTo>
                                  <a:pt x="6838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3" style="width:538.44pt;height:0.720032pt;mso-position-horizontal-relative:char;mso-position-vertical-relative:line" coordsize="68381,91">
                <v:shape id="Shape 4266" style="position:absolute;width:68381;height:91;left:0;top:0;" coordsize="6838188,9144" path="m0,0l6838188,0l68381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AAF6E9E" w14:textId="77777777" w:rsidR="009766D9" w:rsidRDefault="00911819">
      <w:pPr>
        <w:numPr>
          <w:ilvl w:val="0"/>
          <w:numId w:val="4"/>
        </w:numPr>
        <w:spacing w:after="7" w:line="269" w:lineRule="auto"/>
        <w:ind w:hanging="166"/>
      </w:pPr>
      <w:r>
        <w:rPr>
          <w:sz w:val="16"/>
        </w:rPr>
        <w:t>Kurt-</w:t>
      </w:r>
      <w:r>
        <w:rPr>
          <w:sz w:val="16"/>
        </w:rPr>
        <w:t xml:space="preserve">Mangold ME, Grieme CV, Krasowski MD, Rosenthal NS. Clinical Utility of Ordered Pathology Blood Smear Reviews - an Overused </w:t>
      </w:r>
      <w:proofErr w:type="gramStart"/>
      <w:r>
        <w:rPr>
          <w:sz w:val="16"/>
        </w:rPr>
        <w:t>Resource?.</w:t>
      </w:r>
      <w:proofErr w:type="gramEnd"/>
      <w:r>
        <w:rPr>
          <w:sz w:val="16"/>
        </w:rPr>
        <w:t xml:space="preserve"> </w:t>
      </w:r>
      <w:r>
        <w:rPr>
          <w:i/>
          <w:sz w:val="16"/>
        </w:rPr>
        <w:t>Clin Lab</w:t>
      </w:r>
      <w:r>
        <w:rPr>
          <w:sz w:val="16"/>
        </w:rPr>
        <w:t xml:space="preserve">. </w:t>
      </w:r>
    </w:p>
    <w:p w14:paraId="4733700D" w14:textId="77777777" w:rsidR="009766D9" w:rsidRDefault="00911819">
      <w:pPr>
        <w:spacing w:after="166" w:line="269" w:lineRule="auto"/>
        <w:ind w:left="-5" w:hanging="10"/>
      </w:pPr>
      <w:r>
        <w:rPr>
          <w:sz w:val="16"/>
        </w:rPr>
        <w:t xml:space="preserve">2018;64(1):99-104. doi:10.7754/Clin.Lab.2017.170703  </w:t>
      </w:r>
    </w:p>
    <w:p w14:paraId="1B5E7599" w14:textId="77777777" w:rsidR="009766D9" w:rsidRDefault="00911819">
      <w:pPr>
        <w:numPr>
          <w:ilvl w:val="0"/>
          <w:numId w:val="4"/>
        </w:numPr>
        <w:spacing w:after="7" w:line="269" w:lineRule="auto"/>
        <w:ind w:hanging="166"/>
      </w:pPr>
      <w:proofErr w:type="spellStart"/>
      <w:r>
        <w:rPr>
          <w:sz w:val="16"/>
        </w:rPr>
        <w:t>Palur</w:t>
      </w:r>
      <w:proofErr w:type="spellEnd"/>
      <w:r>
        <w:rPr>
          <w:sz w:val="16"/>
        </w:rPr>
        <w:t xml:space="preserve"> K, </w:t>
      </w:r>
      <w:proofErr w:type="spellStart"/>
      <w:r>
        <w:rPr>
          <w:sz w:val="16"/>
        </w:rPr>
        <w:t>Arakeri</w:t>
      </w:r>
      <w:proofErr w:type="spellEnd"/>
      <w:r>
        <w:rPr>
          <w:sz w:val="16"/>
        </w:rPr>
        <w:t xml:space="preserve"> SU. Effectiveness of the International Consensus Group criteria for manual peripheral smear review. </w:t>
      </w:r>
      <w:r>
        <w:rPr>
          <w:i/>
          <w:sz w:val="16"/>
        </w:rPr>
        <w:t xml:space="preserve">Indian J </w:t>
      </w:r>
      <w:proofErr w:type="spellStart"/>
      <w:r>
        <w:rPr>
          <w:i/>
          <w:sz w:val="16"/>
        </w:rPr>
        <w:t>Pathol</w:t>
      </w:r>
      <w:proofErr w:type="spellEnd"/>
      <w:r>
        <w:rPr>
          <w:i/>
          <w:sz w:val="16"/>
        </w:rPr>
        <w:t xml:space="preserve"> Microbiol</w:t>
      </w:r>
      <w:r>
        <w:rPr>
          <w:sz w:val="16"/>
        </w:rPr>
        <w:t xml:space="preserve">. </w:t>
      </w:r>
    </w:p>
    <w:p w14:paraId="11D21E04" w14:textId="77777777" w:rsidR="009766D9" w:rsidRDefault="00911819">
      <w:pPr>
        <w:spacing w:after="166" w:line="269" w:lineRule="auto"/>
        <w:ind w:left="-5" w:hanging="10"/>
      </w:pPr>
      <w:r>
        <w:rPr>
          <w:sz w:val="16"/>
        </w:rPr>
        <w:t xml:space="preserve">2018;61(3):360-365. </w:t>
      </w:r>
      <w:proofErr w:type="gramStart"/>
      <w:r>
        <w:rPr>
          <w:sz w:val="16"/>
        </w:rPr>
        <w:t>doi:10.4103/IJPM.IJPM</w:t>
      </w:r>
      <w:proofErr w:type="gramEnd"/>
      <w:r>
        <w:rPr>
          <w:sz w:val="16"/>
        </w:rPr>
        <w:t xml:space="preserve">_142_17  </w:t>
      </w:r>
    </w:p>
    <w:p w14:paraId="44D6321B" w14:textId="77777777" w:rsidR="009766D9" w:rsidRDefault="00911819">
      <w:pPr>
        <w:numPr>
          <w:ilvl w:val="0"/>
          <w:numId w:val="4"/>
        </w:numPr>
        <w:spacing w:after="166" w:line="269" w:lineRule="auto"/>
        <w:ind w:hanging="166"/>
      </w:pPr>
      <w:r>
        <w:rPr>
          <w:sz w:val="16"/>
        </w:rPr>
        <w:t xml:space="preserve">Loo E, Rodrigues Simoes NJ, Browne LJ, Mindiola Romero AE, Kaur P. Hematology lab waste reduction through implementation of peripheral smear review criteria. </w:t>
      </w:r>
      <w:r>
        <w:rPr>
          <w:i/>
          <w:sz w:val="16"/>
        </w:rPr>
        <w:t xml:space="preserve">Int J Lab </w:t>
      </w:r>
      <w:proofErr w:type="spellStart"/>
      <w:r>
        <w:rPr>
          <w:i/>
          <w:sz w:val="16"/>
        </w:rPr>
        <w:t>Hematol</w:t>
      </w:r>
      <w:proofErr w:type="spellEnd"/>
      <w:r>
        <w:rPr>
          <w:sz w:val="16"/>
        </w:rPr>
        <w:t xml:space="preserve">. 2023;45(5):813-815. doi:10.1111/ijlh.14103  </w:t>
      </w:r>
    </w:p>
    <w:p w14:paraId="684D078E" w14:textId="77777777" w:rsidR="009766D9" w:rsidRDefault="00911819">
      <w:pPr>
        <w:numPr>
          <w:ilvl w:val="0"/>
          <w:numId w:val="4"/>
        </w:numPr>
        <w:spacing w:after="166" w:line="269" w:lineRule="auto"/>
        <w:ind w:hanging="166"/>
      </w:pPr>
      <w:r>
        <w:rPr>
          <w:sz w:val="16"/>
        </w:rPr>
        <w:t>Beckman AK, Ng VL, Jaye DL, et al. Clinician-ordered peripheral blood smears have low reimbursement and variable clinical value: a three-institution study, with suggestions for operational efficiency.</w:t>
      </w:r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Diagn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Pathol</w:t>
      </w:r>
      <w:proofErr w:type="spellEnd"/>
      <w:r>
        <w:rPr>
          <w:i/>
          <w:sz w:val="16"/>
        </w:rPr>
        <w:t>.</w:t>
      </w:r>
      <w:r>
        <w:rPr>
          <w:sz w:val="16"/>
        </w:rPr>
        <w:t xml:space="preserve"> 2020;15(1):112. doi:10.1186/s13000-020-01033-8 </w:t>
      </w:r>
    </w:p>
    <w:p w14:paraId="6E27B2F1" w14:textId="77777777" w:rsidR="009766D9" w:rsidRDefault="00911819">
      <w:pPr>
        <w:numPr>
          <w:ilvl w:val="0"/>
          <w:numId w:val="4"/>
        </w:numPr>
        <w:spacing w:after="223" w:line="269" w:lineRule="auto"/>
        <w:ind w:hanging="166"/>
      </w:pPr>
      <w:r>
        <w:rPr>
          <w:sz w:val="16"/>
        </w:rPr>
        <w:t xml:space="preserve">Test Update: Changes to Smear Review Requests – </w:t>
      </w:r>
      <w:r>
        <w:rPr>
          <w:sz w:val="16"/>
        </w:rPr>
        <w:t xml:space="preserve">UVM Health, UVM Pathology and Laboratory Medicine 11/10/2025 </w:t>
      </w:r>
    </w:p>
    <w:p w14:paraId="0408B806" w14:textId="77777777" w:rsidR="009766D9" w:rsidRDefault="00911819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9766D9">
      <w:footerReference w:type="even" r:id="rId11"/>
      <w:footerReference w:type="default" r:id="rId12"/>
      <w:footerReference w:type="first" r:id="rId13"/>
      <w:pgSz w:w="12240" w:h="15840"/>
      <w:pgMar w:top="359" w:right="813" w:bottom="137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A5CA" w14:textId="77777777" w:rsidR="00911819" w:rsidRDefault="00911819">
      <w:pPr>
        <w:spacing w:after="0" w:line="240" w:lineRule="auto"/>
      </w:pPr>
      <w:r>
        <w:separator/>
      </w:r>
    </w:p>
  </w:endnote>
  <w:endnote w:type="continuationSeparator" w:id="0">
    <w:p w14:paraId="25649E5B" w14:textId="77777777" w:rsidR="00911819" w:rsidRDefault="0091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8887" w14:textId="77777777" w:rsidR="009766D9" w:rsidRDefault="00911819">
    <w:pPr>
      <w:spacing w:after="0"/>
      <w:ind w:left="3"/>
      <w:jc w:val="center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0908BF1" w14:textId="77777777" w:rsidR="009766D9" w:rsidRDefault="00911819">
    <w:pPr>
      <w:spacing w:after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9857" w14:textId="77777777" w:rsidR="009766D9" w:rsidRDefault="00911819">
    <w:pPr>
      <w:spacing w:after="0"/>
      <w:ind w:left="3"/>
      <w:jc w:val="center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7C134C6" w14:textId="77777777" w:rsidR="009766D9" w:rsidRDefault="00911819">
    <w:pPr>
      <w:spacing w:after="0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126D" w14:textId="77777777" w:rsidR="009766D9" w:rsidRDefault="00911819">
    <w:pPr>
      <w:spacing w:after="0"/>
      <w:ind w:left="3"/>
      <w:jc w:val="center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C1BB95C" w14:textId="77777777" w:rsidR="009766D9" w:rsidRDefault="00911819">
    <w:pPr>
      <w:spacing w:after="0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5CD4" w14:textId="77777777" w:rsidR="00911819" w:rsidRDefault="00911819">
      <w:pPr>
        <w:spacing w:after="0" w:line="240" w:lineRule="auto"/>
      </w:pPr>
      <w:r>
        <w:separator/>
      </w:r>
    </w:p>
  </w:footnote>
  <w:footnote w:type="continuationSeparator" w:id="0">
    <w:p w14:paraId="409455FE" w14:textId="77777777" w:rsidR="00911819" w:rsidRDefault="00911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6A73"/>
    <w:multiLevelType w:val="hybridMultilevel"/>
    <w:tmpl w:val="3112F8CA"/>
    <w:lvl w:ilvl="0" w:tplc="043A9F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2AD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43F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083C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D251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7C72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7E86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2CB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0C91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863D8"/>
    <w:multiLevelType w:val="hybridMultilevel"/>
    <w:tmpl w:val="91FC1678"/>
    <w:lvl w:ilvl="0" w:tplc="554232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254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A43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E2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EA0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856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880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C8F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E94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24600B"/>
    <w:multiLevelType w:val="hybridMultilevel"/>
    <w:tmpl w:val="C4629FF0"/>
    <w:lvl w:ilvl="0" w:tplc="2D383B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DC3C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ECC1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7C45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F6CE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C8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211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2AF9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E5A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515EFB"/>
    <w:multiLevelType w:val="hybridMultilevel"/>
    <w:tmpl w:val="21063D56"/>
    <w:lvl w:ilvl="0" w:tplc="56C08B32">
      <w:start w:val="1"/>
      <w:numFmt w:val="decimal"/>
      <w:lvlText w:val="%1."/>
      <w:lvlJc w:val="left"/>
      <w:pPr>
        <w:ind w:left="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B0A7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DA3E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841B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2E6B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9F040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884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FC93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2C91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0006855">
    <w:abstractNumId w:val="1"/>
  </w:num>
  <w:num w:numId="2" w16cid:durableId="1298485844">
    <w:abstractNumId w:val="2"/>
  </w:num>
  <w:num w:numId="3" w16cid:durableId="1744179030">
    <w:abstractNumId w:val="0"/>
  </w:num>
  <w:num w:numId="4" w16cid:durableId="202377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D9"/>
    <w:rsid w:val="00911819"/>
    <w:rsid w:val="009766D9"/>
    <w:rsid w:val="00A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55A8"/>
  <w15:docId w15:val="{A9A9346B-91CE-487F-A344-0D6715F1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3" w:line="259" w:lineRule="auto"/>
      <w:ind w:left="10" w:hanging="10"/>
      <w:outlineLvl w:val="0"/>
    </w:pPr>
    <w:rPr>
      <w:rFonts w:ascii="Calibri" w:eastAsia="Calibri" w:hAnsi="Calibri" w:cs="Calibri"/>
      <w:b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70C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lab.com/dv/dl.aspx?d=3103663&amp;dh=d83b7cc72dea&amp;u=198554&amp;uh=1ee4b8ab4db3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dialab.com/dv/dl.aspx?d=3103663&amp;dh=d83b7cc72dea&amp;u=198554&amp;uh=1ee4b8ab4d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alab.com/dv/dl.aspx?d=3103663&amp;dh=d83b7cc72dea&amp;u=198554&amp;uh=1ee4b8ab4db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4173</Characters>
  <Application>Microsoft Office Word</Application>
  <DocSecurity>4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Clarification of CBC Testing and Requests for Peripheral Smear</dc:title>
  <dc:subject/>
  <dc:creator>David Blin</dc:creator>
  <cp:keywords>Clarification of CBC Testing and Requests for Peripheral Smear</cp:keywords>
  <cp:lastModifiedBy>William Hobkirk</cp:lastModifiedBy>
  <cp:revision>2</cp:revision>
  <dcterms:created xsi:type="dcterms:W3CDTF">2025-11-25T13:05:00Z</dcterms:created>
  <dcterms:modified xsi:type="dcterms:W3CDTF">2025-11-25T13:05:00Z</dcterms:modified>
</cp:coreProperties>
</file>